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left"/>
      </w:pPr>
      <w:r>
        <w:rPr>
          <w:b/>
          <w:i w:val="0"/>
          <w:color w:val="8A8A8A"/>
          <w:sz w:val="22"/>
        </w:rPr>
        <w:t>ОБРАЗЕЦ</w:t>
      </w:r>
    </w:p>
    <w:p>
      <w:r>
        <w:rPr>
          <w:b w:val="0"/>
          <w:i/>
          <w:color w:val="555555"/>
          <w:sz w:val="20"/>
        </w:rPr>
        <w:t>Документ можно подписать как есть или адаптировать под свою ситуацию. Поля в квадратных скобках заполняются сторонами.</w:t>
      </w:r>
    </w:p>
    <w:p>
      <w:r>
        <w:rPr>
          <w:b w:val="0"/>
          <w:i w:val="0"/>
        </w:rPr>
      </w:r>
    </w:p>
    <w:p>
      <w:pPr>
        <w:spacing w:after="80"/>
        <w:jc w:val="center"/>
      </w:pPr>
      <w:r>
        <w:rPr>
          <w:b/>
          <w:i w:val="0"/>
          <w:sz w:val="32"/>
        </w:rPr>
        <w:t>Соглашение о конфиденциальности (NDA)</w:t>
      </w:r>
    </w:p>
    <w:p>
      <w:pPr>
        <w:spacing w:after="280"/>
        <w:jc w:val="center"/>
      </w:pPr>
      <w:r>
        <w:rPr>
          <w:b w:val="0"/>
          <w:i w:val="0"/>
          <w:color w:val="777777"/>
          <w:sz w:val="20"/>
        </w:rPr>
        <w:t>Редакция 1.0 · 21 октября 2026</w:t>
      </w:r>
    </w:p>
    <w:p>
      <w:pPr>
        <w:jc w:val="both"/>
      </w:pPr>
      <w:r>
        <w:rPr>
          <w:b w:val="0"/>
          <w:i w:val="0"/>
        </w:rPr>
        <w:t>Настоящее Соглашение о конфиденциальности (далее - «Соглашение») заключается между Заказчиком и Исполнителем до начала обсуждения проекта. Стороны обязуются не разглашать информацию, которую получают друг от друга, и использовать её только для оценки и выполнения работ.</w:t>
      </w:r>
    </w:p>
    <w:p/>
    <w:p>
      <w:pPr>
        <w:spacing w:after="120"/>
      </w:pPr>
      <w:r>
        <w:rPr>
          <w:b/>
          <w:sz w:val="26"/>
        </w:rPr>
        <w:t>1. Стороны и предмет</w:t>
      </w:r>
    </w:p>
    <w:p>
      <w:pPr>
        <w:jc w:val="both"/>
      </w:pPr>
      <w:r>
        <w:rPr>
          <w:b w:val="0"/>
          <w:i w:val="0"/>
        </w:rPr>
        <w:t>1.1. Заказчик: [наименование организации или ФИО], ИНН [__________], адрес: [__________], e-mail: [__________].</w:t>
      </w:r>
    </w:p>
    <w:p>
      <w:pPr>
        <w:jc w:val="both"/>
      </w:pPr>
      <w:r>
        <w:rPr>
          <w:b w:val="0"/>
          <w:i w:val="0"/>
        </w:rPr>
        <w:t>1.2. Исполнитель: Cosh-labs, ИНН [__________], ОГРН/ОГРНИП [__________], адрес: [__________], e-mail: dev@coshindustries.ru.</w:t>
      </w:r>
    </w:p>
    <w:p>
      <w:pPr>
        <w:jc w:val="both"/>
      </w:pPr>
      <w:r>
        <w:rPr>
          <w:b w:val="0"/>
          <w:i w:val="0"/>
        </w:rPr>
        <w:t>1.3. Предмет Соглашения - взаимные обязательства Сторон по защите информации, которая передаётся друг другу в связи с обсуждением и выполнением проекта.</w:t>
      </w:r>
    </w:p>
    <w:p>
      <w:pPr>
        <w:jc w:val="both"/>
      </w:pPr>
      <w:r>
        <w:rPr>
          <w:b w:val="0"/>
          <w:i w:val="0"/>
        </w:rPr>
        <w:t>1.4. Соглашение не обязывает Стороны заключить договор на разработку: каждая Сторона вправе отказаться от проекта на любом этапе.</w:t>
      </w:r>
    </w:p>
    <w:p>
      <w:pPr>
        <w:spacing w:before="80"/>
        <w:ind w:left="340"/>
      </w:pPr>
      <w:r>
        <w:rPr>
          <w:b/>
          <w:i/>
          <w:color w:val="444444"/>
          <w:sz w:val="22"/>
        </w:rPr>
        <w:t xml:space="preserve">Простыми словами: </w:t>
      </w:r>
      <w:r>
        <w:rPr>
          <w:i/>
          <w:color w:val="444444"/>
          <w:sz w:val="22"/>
        </w:rPr>
        <w:t>Это шаблон: подставьте свои данные вместо квадратных скобок. Подписать можно до первого созвона - этого достаточно, чтобы спокойно обсуждать детали.</w:t>
      </w:r>
    </w:p>
    <w:p/>
    <w:p>
      <w:pPr>
        <w:spacing w:after="120"/>
      </w:pPr>
      <w:r>
        <w:rPr>
          <w:b/>
          <w:sz w:val="26"/>
        </w:rPr>
        <w:t>2. Что считается конфиденциальной информацией</w:t>
      </w:r>
    </w:p>
    <w:p>
      <w:pPr>
        <w:jc w:val="both"/>
      </w:pPr>
      <w:r>
        <w:rPr>
          <w:b w:val="0"/>
          <w:i w:val="0"/>
        </w:rPr>
        <w:t>2.1. Конфиденциальной считается любая информация, которую одна Сторона передаёт другой в письменной, устной или электронной форме и которая обозначена как конфиденциальная либо очевидно является таковой исходя из обстоятельств передачи.</w:t>
      </w:r>
    </w:p>
    <w:p>
      <w:pPr>
        <w:jc w:val="both"/>
      </w:pPr>
      <w:r>
        <w:rPr>
          <w:b w:val="0"/>
          <w:i w:val="0"/>
        </w:rPr>
        <w:t>2.2. К конфиденциальной информации относятся, в частности:</w:t>
      </w:r>
    </w:p>
    <w:p>
      <w:pPr>
        <w:pStyle w:val="ListBullet"/>
        <w:spacing w:after="40"/>
      </w:pPr>
      <w:r>
        <w:t>идеи, концепции и планы продуктов;</w:t>
      </w:r>
    </w:p>
    <w:p>
      <w:pPr>
        <w:pStyle w:val="ListBullet"/>
        <w:spacing w:after="40"/>
      </w:pPr>
      <w:r>
        <w:t>технические задания, прототипы, макеты, дизайн;</w:t>
      </w:r>
    </w:p>
    <w:p>
      <w:pPr>
        <w:pStyle w:val="ListBullet"/>
        <w:spacing w:after="40"/>
      </w:pPr>
      <w:r>
        <w:t>исходный код, схемы баз данных, архитектура;</w:t>
      </w:r>
    </w:p>
    <w:p>
      <w:pPr>
        <w:pStyle w:val="ListBullet"/>
        <w:spacing w:after="40"/>
      </w:pPr>
      <w:r>
        <w:t>бизнес-показатели: выручка, цены, скидки, условия сделок;</w:t>
      </w:r>
    </w:p>
    <w:p>
      <w:pPr>
        <w:pStyle w:val="ListBullet"/>
        <w:spacing w:after="40"/>
      </w:pPr>
      <w:r>
        <w:t>данные клиентов и сотрудников, включая персональные данные;</w:t>
      </w:r>
    </w:p>
    <w:p>
      <w:pPr>
        <w:pStyle w:val="ListBullet"/>
        <w:spacing w:after="40"/>
      </w:pPr>
      <w:r>
        <w:t>коммерческие предложения и условия договоров.</w:t>
      </w:r>
    </w:p>
    <w:p>
      <w:pPr>
        <w:spacing w:before="80"/>
        <w:ind w:left="340"/>
      </w:pPr>
      <w:r>
        <w:rPr>
          <w:b/>
          <w:i/>
          <w:color w:val="444444"/>
          <w:sz w:val="22"/>
        </w:rPr>
        <w:t xml:space="preserve">Простыми словами: </w:t>
      </w:r>
      <w:r>
        <w:rPr>
          <w:i/>
          <w:color w:val="444444"/>
          <w:sz w:val="22"/>
        </w:rPr>
        <w:t>Если вы прислали ТЗ, макет, доступ к системе или рассказали, как устроен бизнес, - это конфиденциально, даже если каждая страница не помечена штампом.</w:t>
      </w:r>
    </w:p>
    <w:p/>
    <w:p>
      <w:pPr>
        <w:spacing w:after="120"/>
      </w:pPr>
      <w:r>
        <w:rPr>
          <w:b/>
          <w:sz w:val="26"/>
        </w:rPr>
        <w:t>3. Что не является конфиденциальным</w:t>
      </w:r>
    </w:p>
    <w:p>
      <w:pPr>
        <w:jc w:val="both"/>
      </w:pPr>
      <w:r>
        <w:rPr>
          <w:b w:val="0"/>
          <w:i w:val="0"/>
        </w:rPr>
        <w:t>3.1. Режим конфиденциальности не распространяется на информацию, если она:</w:t>
      </w:r>
    </w:p>
    <w:p>
      <w:pPr>
        <w:pStyle w:val="ListBullet"/>
        <w:spacing w:after="40"/>
      </w:pPr>
      <w:r>
        <w:t>уже была общедоступной на момент передачи;</w:t>
      </w:r>
    </w:p>
    <w:p>
      <w:pPr>
        <w:pStyle w:val="ListBullet"/>
        <w:spacing w:after="40"/>
      </w:pPr>
      <w:r>
        <w:t>стала общедоступной не по вине получившей Стороны;</w:t>
      </w:r>
    </w:p>
    <w:p>
      <w:pPr>
        <w:pStyle w:val="ListBullet"/>
        <w:spacing w:after="40"/>
      </w:pPr>
      <w:r>
        <w:t>уже была у получившей Стороны до начала переговоров;</w:t>
      </w:r>
    </w:p>
    <w:p>
      <w:pPr>
        <w:pStyle w:val="ListBullet"/>
        <w:spacing w:after="40"/>
      </w:pPr>
      <w:r>
        <w:t>получена законным путём от третьих лиц без обязательств о неразглашении;</w:t>
      </w:r>
    </w:p>
    <w:p>
      <w:pPr>
        <w:pStyle w:val="ListBullet"/>
        <w:spacing w:after="40"/>
      </w:pPr>
      <w:r>
        <w:t>разработана Стороной самостоятельно, без использования чужой конфиденциальной информации.</w:t>
      </w:r>
    </w:p>
    <w:p>
      <w:pPr>
        <w:spacing w:before="80"/>
        <w:ind w:left="340"/>
      </w:pPr>
      <w:r>
        <w:rPr>
          <w:b/>
          <w:i/>
          <w:color w:val="444444"/>
          <w:sz w:val="22"/>
        </w:rPr>
        <w:t xml:space="preserve">Простыми словами: </w:t>
      </w:r>
      <w:r>
        <w:rPr>
          <w:i/>
          <w:color w:val="444444"/>
          <w:sz w:val="22"/>
        </w:rPr>
        <w:t>Общедоступная информация, ваши собственные знания и то, что мы знали до проекта, под запрет не попадают. Иначе соглашение было бы невозможно исполнить.</w:t>
      </w:r>
    </w:p>
    <w:p/>
    <w:p>
      <w:pPr>
        <w:spacing w:after="120"/>
      </w:pPr>
      <w:r>
        <w:rPr>
          <w:b/>
          <w:sz w:val="26"/>
        </w:rPr>
        <w:t>4. Обязанности Сторон</w:t>
      </w:r>
    </w:p>
    <w:p>
      <w:pPr>
        <w:jc w:val="both"/>
      </w:pPr>
      <w:r>
        <w:rPr>
          <w:b w:val="0"/>
          <w:i w:val="0"/>
        </w:rPr>
        <w:t>4.1. Каждая Сторона обязуется:</w:t>
      </w:r>
    </w:p>
    <w:p>
      <w:pPr>
        <w:pStyle w:val="ListBullet"/>
        <w:spacing w:after="40"/>
      </w:pPr>
      <w:r>
        <w:t>не разглашать конфиденциальную информацию третьим лицам;</w:t>
      </w:r>
    </w:p>
    <w:p>
      <w:pPr>
        <w:pStyle w:val="ListBullet"/>
        <w:spacing w:after="40"/>
      </w:pPr>
      <w:r>
        <w:t>использовать информацию только для оценки и выполнения проекта;</w:t>
      </w:r>
    </w:p>
    <w:p>
      <w:pPr>
        <w:pStyle w:val="ListBullet"/>
        <w:spacing w:after="40"/>
      </w:pPr>
      <w:r>
        <w:t>предоставлять доступ сотрудникам и подрядчикам только в объёме, необходимом для работы;</w:t>
      </w:r>
    </w:p>
    <w:p>
      <w:pPr>
        <w:pStyle w:val="ListBullet"/>
        <w:spacing w:after="40"/>
      </w:pPr>
      <w:r>
        <w:t>применять разумные меры защиты, не меньшие, чем для собственной конфиденциальной информации;</w:t>
      </w:r>
    </w:p>
    <w:p>
      <w:pPr>
        <w:pStyle w:val="ListBullet"/>
        <w:spacing w:after="40"/>
      </w:pPr>
      <w:r>
        <w:t>сообщить другой Стороне о факте разглашения в течение 3 рабочих дней с момента, когда стало известно.</w:t>
      </w:r>
    </w:p>
    <w:p>
      <w:pPr>
        <w:spacing w:before="80"/>
        <w:ind w:left="340"/>
      </w:pPr>
      <w:r>
        <w:rPr>
          <w:b/>
          <w:i/>
          <w:color w:val="444444"/>
          <w:sz w:val="22"/>
        </w:rPr>
        <w:t xml:space="preserve">Простыми словами: </w:t>
      </w:r>
      <w:r>
        <w:rPr>
          <w:i/>
          <w:color w:val="444444"/>
          <w:sz w:val="22"/>
        </w:rPr>
        <w:t>Мы не публикуем ваши материалы в портфолио без письменного согласия и не пересказываем детали проекта третьим лицам.</w:t>
      </w:r>
    </w:p>
    <w:p/>
    <w:p>
      <w:pPr>
        <w:spacing w:after="120"/>
      </w:pPr>
      <w:r>
        <w:rPr>
          <w:b/>
          <w:sz w:val="26"/>
        </w:rPr>
        <w:t>5. Как можно использовать информацию</w:t>
      </w:r>
    </w:p>
    <w:p>
      <w:pPr>
        <w:jc w:val="both"/>
      </w:pPr>
      <w:r>
        <w:rPr>
          <w:b w:val="0"/>
          <w:i w:val="0"/>
        </w:rPr>
        <w:t>5.1. Информация используется исключительно для подготовки предложения и выполнения работ по проекту.</w:t>
      </w:r>
    </w:p>
    <w:p>
      <w:pPr>
        <w:jc w:val="both"/>
      </w:pPr>
      <w:r>
        <w:rPr>
          <w:b w:val="0"/>
          <w:i w:val="0"/>
        </w:rPr>
        <w:t>5.2. Публикация кейса, логотипа, скриншотов интерфейса и отзывов возможна только с письменного согласия Заказчика.</w:t>
      </w:r>
    </w:p>
    <w:p>
      <w:pPr>
        <w:jc w:val="both"/>
      </w:pPr>
      <w:r>
        <w:rPr>
          <w:b w:val="0"/>
          <w:i w:val="0"/>
        </w:rPr>
        <w:t>5.3. Согласие на публикацию можно отозвать в любой момент - после этого материалы удаляются с сайта и из презентаций в течение 10 рабочих дней.</w:t>
      </w:r>
    </w:p>
    <w:p>
      <w:pPr>
        <w:spacing w:before="80"/>
        <w:ind w:left="340"/>
      </w:pPr>
      <w:r>
        <w:rPr>
          <w:b/>
          <w:i/>
          <w:color w:val="444444"/>
          <w:sz w:val="22"/>
        </w:rPr>
        <w:t xml:space="preserve">Простыми словами: </w:t>
      </w:r>
      <w:r>
        <w:rPr>
          <w:i/>
          <w:color w:val="444444"/>
          <w:sz w:val="22"/>
        </w:rPr>
        <w:t>Достаточно вашего письменного «да» в переписке, чтобы мы показали кейс. Без него - только обезличенные факты.</w:t>
      </w:r>
    </w:p>
    <w:p/>
    <w:p>
      <w:pPr>
        <w:spacing w:after="120"/>
      </w:pPr>
      <w:r>
        <w:rPr>
          <w:b/>
          <w:sz w:val="26"/>
        </w:rPr>
        <w:t>6. Срок действия</w:t>
      </w:r>
    </w:p>
    <w:p>
      <w:pPr>
        <w:jc w:val="both"/>
      </w:pPr>
      <w:r>
        <w:rPr>
          <w:b w:val="0"/>
          <w:i w:val="0"/>
        </w:rPr>
        <w:t>6.1. Соглашение вступает в силу с момента подписания и действует 3 (три) года.</w:t>
      </w:r>
    </w:p>
    <w:p>
      <w:pPr>
        <w:jc w:val="both"/>
      </w:pPr>
      <w:r>
        <w:rPr>
          <w:b w:val="0"/>
          <w:i w:val="0"/>
        </w:rPr>
        <w:t>6.2. Обязательства по защите персональных данных действуют до момента их уничтожения, но не менее срока, установленного законом.</w:t>
      </w:r>
    </w:p>
    <w:p>
      <w:pPr>
        <w:jc w:val="both"/>
      </w:pPr>
      <w:r>
        <w:rPr>
          <w:b w:val="0"/>
          <w:i w:val="0"/>
        </w:rPr>
        <w:t>6.3. Стороны вправе продлить срок отдельным письменным соглашением.</w:t>
      </w:r>
    </w:p>
    <w:p>
      <w:pPr>
        <w:spacing w:before="80"/>
        <w:ind w:left="340"/>
      </w:pPr>
      <w:r>
        <w:rPr>
          <w:b/>
          <w:i/>
          <w:color w:val="444444"/>
          <w:sz w:val="22"/>
        </w:rPr>
        <w:t xml:space="preserve">Простыми словами: </w:t>
      </w:r>
      <w:r>
        <w:rPr>
          <w:i/>
          <w:color w:val="444444"/>
          <w:sz w:val="22"/>
        </w:rPr>
        <w:t>Три года - обычная практика для таких соглашений. Обязательства действуют, даже если проект не начался.</w:t>
      </w:r>
    </w:p>
    <w:p/>
    <w:p>
      <w:pPr>
        <w:spacing w:after="120"/>
      </w:pPr>
      <w:r>
        <w:rPr>
          <w:b/>
          <w:sz w:val="26"/>
        </w:rPr>
        <w:t>7. Ответственность</w:t>
      </w:r>
    </w:p>
    <w:p>
      <w:pPr>
        <w:jc w:val="both"/>
      </w:pPr>
      <w:r>
        <w:rPr>
          <w:b w:val="0"/>
          <w:i w:val="0"/>
        </w:rPr>
        <w:t>7.1. За разглашение конфиденциальной информации Сторона возмещает другой Стороне документально подтверждённый ущерб.</w:t>
      </w:r>
    </w:p>
    <w:p>
      <w:pPr>
        <w:jc w:val="both"/>
      </w:pPr>
      <w:r>
        <w:rPr>
          <w:b w:val="0"/>
          <w:i w:val="0"/>
        </w:rPr>
        <w:t>7.2. Размер ущерба определяется по фактическим потерям. Упущенная выгода возмещается в случаях, прямо предусмотренных законом.</w:t>
      </w:r>
    </w:p>
    <w:p>
      <w:pPr>
        <w:jc w:val="both"/>
      </w:pPr>
      <w:r>
        <w:rPr>
          <w:b w:val="0"/>
          <w:i w:val="0"/>
        </w:rPr>
        <w:t>7.3. Сторона не несёт ответственности, если информация раскрыта по требованию государственного органа или суда, при условии уведомления другой Стороны в разумный срок, если такое уведомление допустимо.</w:t>
      </w:r>
    </w:p>
    <w:p>
      <w:pPr>
        <w:spacing w:before="80"/>
        <w:ind w:left="340"/>
      </w:pPr>
      <w:r>
        <w:rPr>
          <w:b/>
          <w:i/>
          <w:color w:val="444444"/>
          <w:sz w:val="22"/>
        </w:rPr>
        <w:t xml:space="preserve">Простыми словами: </w:t>
      </w:r>
      <w:r>
        <w:rPr>
          <w:i/>
          <w:color w:val="444444"/>
          <w:sz w:val="22"/>
        </w:rPr>
        <w:t>Штрафов «на всякий случай» нет: отвечаем за реальный подтверждённый ущерб, а не за сам факт упоминания проекта.</w:t>
      </w:r>
    </w:p>
    <w:p/>
    <w:p>
      <w:pPr>
        <w:spacing w:after="120"/>
      </w:pPr>
      <w:r>
        <w:rPr>
          <w:b/>
          <w:sz w:val="26"/>
        </w:rPr>
        <w:t>8. Передача третьим лицам</w:t>
      </w:r>
    </w:p>
    <w:p>
      <w:pPr>
        <w:jc w:val="both"/>
      </w:pPr>
      <w:r>
        <w:rPr>
          <w:b w:val="0"/>
          <w:i w:val="0"/>
        </w:rPr>
        <w:t>8.1. Передача конфиденциальной информации третьим лицам допускается только с письменного согласия передавшей Стороны.</w:t>
      </w:r>
    </w:p>
    <w:p>
      <w:pPr>
        <w:jc w:val="both"/>
      </w:pPr>
      <w:r>
        <w:rPr>
          <w:b w:val="0"/>
          <w:i w:val="0"/>
        </w:rPr>
        <w:t>8.2. Исключение - подрядчики и сервисы, привлечённые для выполнения проекта: им передаётся только необходимый объём информации, и они принимают обязательства о неразглашении.</w:t>
      </w:r>
    </w:p>
    <w:p>
      <w:pPr>
        <w:spacing w:before="80"/>
        <w:ind w:left="340"/>
      </w:pPr>
      <w:r>
        <w:rPr>
          <w:b/>
          <w:i/>
          <w:color w:val="444444"/>
          <w:sz w:val="22"/>
        </w:rPr>
        <w:t xml:space="preserve">Простыми словами: </w:t>
      </w:r>
      <w:r>
        <w:rPr>
          <w:i/>
          <w:color w:val="444444"/>
          <w:sz w:val="22"/>
        </w:rPr>
        <w:t>Подрядчики получают только тот объём данных, который нужен для их части работы, и подписывают такие же обязательства.</w:t>
      </w:r>
    </w:p>
    <w:p/>
    <w:p>
      <w:pPr>
        <w:spacing w:after="120"/>
      </w:pPr>
      <w:r>
        <w:rPr>
          <w:b/>
          <w:sz w:val="26"/>
        </w:rPr>
        <w:t>9. Возврат и уничтожение информации</w:t>
      </w:r>
    </w:p>
    <w:p>
      <w:pPr>
        <w:jc w:val="both"/>
      </w:pPr>
      <w:r>
        <w:rPr>
          <w:b w:val="0"/>
          <w:i w:val="0"/>
        </w:rPr>
        <w:t>9.1. По письменному требованию Сторона возвращает или уничтожает носители конфиденциальной информации в течение 10 рабочих дней и подтверждает это письменно.</w:t>
      </w:r>
    </w:p>
    <w:p>
      <w:pPr>
        <w:jc w:val="both"/>
      </w:pPr>
      <w:r>
        <w:rPr>
          <w:b w:val="0"/>
          <w:i w:val="0"/>
        </w:rPr>
        <w:t>9.2. Копии, сохраняемые в силу закона или в резервных копиях, остаются под защитой Соглашения до их удаления.</w:t>
      </w:r>
    </w:p>
    <w:p>
      <w:pPr>
        <w:spacing w:before="80"/>
        <w:ind w:left="340"/>
      </w:pPr>
      <w:r>
        <w:rPr>
          <w:b/>
          <w:i/>
          <w:color w:val="444444"/>
          <w:sz w:val="22"/>
        </w:rPr>
        <w:t xml:space="preserve">Простыми словами: </w:t>
      </w:r>
      <w:r>
        <w:rPr>
          <w:i/>
          <w:color w:val="444444"/>
          <w:sz w:val="22"/>
        </w:rPr>
        <w:t>По вашему запросу мы вернём или удалим материалы. Резервные копии живут ограниченное время и тоже защищены соглашением.</w:t>
      </w:r>
    </w:p>
    <w:p/>
    <w:p>
      <w:pPr>
        <w:spacing w:after="120"/>
      </w:pPr>
      <w:r>
        <w:rPr>
          <w:b/>
          <w:sz w:val="26"/>
        </w:rPr>
        <w:t>10. Персональные данные</w:t>
      </w:r>
    </w:p>
    <w:p>
      <w:pPr>
        <w:jc w:val="both"/>
      </w:pPr>
      <w:r>
        <w:rPr>
          <w:b w:val="0"/>
          <w:i w:val="0"/>
        </w:rPr>
        <w:t>10.1. Если конфиденциальная информация содержит персональные данные, Стороны обрабатывают их в соответствии с Федеральным законом № 152-ФЗ «О персональных данных» и только для целей проекта.</w:t>
      </w:r>
    </w:p>
    <w:p>
      <w:pPr>
        <w:jc w:val="both"/>
      </w:pPr>
      <w:r>
        <w:rPr>
          <w:b w:val="0"/>
          <w:i w:val="0"/>
        </w:rPr>
        <w:t>10.2. Исполнитель не передаёт персональные данные третьим лицам, кроме случаев, необходимых для выполнения проекта и согласованных с Заказчиком.</w:t>
      </w:r>
    </w:p>
    <w:p>
      <w:pPr>
        <w:jc w:val="both"/>
      </w:pPr>
      <w:r>
        <w:rPr>
          <w:b w:val="0"/>
          <w:i w:val="0"/>
        </w:rPr>
        <w:t>10.3. При обработке персональных данных на стороне Исполнителя действует Политика обработки персональных данных, размещённая на сайте cosh-labs.ru.</w:t>
      </w:r>
    </w:p>
    <w:p>
      <w:pPr>
        <w:spacing w:before="80"/>
        <w:ind w:left="340"/>
      </w:pPr>
      <w:r>
        <w:rPr>
          <w:b/>
          <w:i/>
          <w:color w:val="444444"/>
          <w:sz w:val="22"/>
        </w:rPr>
        <w:t xml:space="preserve">Простыми словами: </w:t>
      </w:r>
      <w:r>
        <w:rPr>
          <w:i/>
          <w:color w:val="444444"/>
          <w:sz w:val="22"/>
        </w:rPr>
        <w:t>Если в документах есть данные клиентов или сотрудников, мы обрабатываем их по 152-ФЗ и только для проекта.</w:t>
      </w:r>
    </w:p>
    <w:p/>
    <w:p>
      <w:pPr>
        <w:spacing w:after="120"/>
      </w:pPr>
      <w:r>
        <w:rPr>
          <w:b/>
          <w:sz w:val="26"/>
        </w:rPr>
        <w:t>11. Разрешение споров</w:t>
      </w:r>
    </w:p>
    <w:p>
      <w:pPr>
        <w:jc w:val="both"/>
      </w:pPr>
      <w:r>
        <w:rPr>
          <w:b w:val="0"/>
          <w:i w:val="0"/>
        </w:rPr>
        <w:t>11.1. Споры и разногласия решаются путём переговоров.</w:t>
      </w:r>
    </w:p>
    <w:p>
      <w:pPr>
        <w:jc w:val="both"/>
      </w:pPr>
      <w:r>
        <w:rPr>
          <w:b w:val="0"/>
          <w:i w:val="0"/>
        </w:rPr>
        <w:t>11.2. Если согласие не достигнуто, спор передаётся в суд по месту нахождения Исполнителя, если иное не предусмотрено законом.</w:t>
      </w:r>
    </w:p>
    <w:p>
      <w:pPr>
        <w:jc w:val="both"/>
      </w:pPr>
      <w:r>
        <w:rPr>
          <w:b w:val="0"/>
          <w:i w:val="0"/>
        </w:rPr>
        <w:t>11.3. Применимое право - право Российской Федерации.</w:t>
      </w:r>
    </w:p>
    <w:p>
      <w:pPr>
        <w:spacing w:before="80"/>
        <w:ind w:left="340"/>
      </w:pPr>
      <w:r>
        <w:rPr>
          <w:b/>
          <w:i/>
          <w:color w:val="444444"/>
          <w:sz w:val="22"/>
        </w:rPr>
        <w:t xml:space="preserve">Простыми словами: </w:t>
      </w:r>
      <w:r>
        <w:rPr>
          <w:i/>
          <w:color w:val="444444"/>
          <w:sz w:val="22"/>
        </w:rPr>
        <w:t>Сначала договариваемся, затем суд. Применимое право - российское.</w:t>
      </w:r>
    </w:p>
    <w:p/>
    <w:p>
      <w:pPr>
        <w:spacing w:after="120"/>
      </w:pPr>
      <w:r>
        <w:rPr>
          <w:b/>
          <w:sz w:val="26"/>
        </w:rPr>
        <w:t>12. Заключительные положения</w:t>
      </w:r>
    </w:p>
    <w:p>
      <w:pPr>
        <w:jc w:val="both"/>
      </w:pPr>
      <w:r>
        <w:rPr>
          <w:b w:val="0"/>
          <w:i w:val="0"/>
        </w:rPr>
        <w:t>12.1. Соглашение может быть изменено только письменным документом, подписанным обеими Сторонами.</w:t>
      </w:r>
    </w:p>
    <w:p>
      <w:pPr>
        <w:jc w:val="both"/>
      </w:pPr>
      <w:r>
        <w:rPr>
          <w:b w:val="0"/>
          <w:i w:val="0"/>
        </w:rPr>
        <w:t>12.2. Подписание через ЭДО, электронную почту или факсимиле признаётся действительным и имеет юридическую силу.</w:t>
      </w:r>
    </w:p>
    <w:p>
      <w:pPr>
        <w:jc w:val="both"/>
      </w:pPr>
      <w:r>
        <w:rPr>
          <w:b w:val="0"/>
          <w:i w:val="0"/>
        </w:rPr>
        <w:t>12.3. Соглашение составлено в двух экземплярах, по одному для каждой Стороны.</w:t>
      </w:r>
    </w:p>
    <w:p>
      <w:pPr>
        <w:jc w:val="both"/>
      </w:pPr>
      <w:r>
        <w:rPr>
          <w:b w:val="0"/>
          <w:i w:val="0"/>
        </w:rPr>
        <w:t>12.4. Во всём, что не предусмотрено Соглашением, Стороны руководствуются законодательством Российской Федерации.</w:t>
      </w:r>
    </w:p>
    <w:p>
      <w:pPr>
        <w:spacing w:before="80"/>
        <w:ind w:left="340"/>
      </w:pPr>
      <w:r>
        <w:rPr>
          <w:b/>
          <w:i/>
          <w:color w:val="444444"/>
          <w:sz w:val="22"/>
        </w:rPr>
        <w:t xml:space="preserve">Простыми словами: </w:t>
      </w:r>
      <w:r>
        <w:rPr>
          <w:i/>
          <w:color w:val="444444"/>
          <w:sz w:val="22"/>
        </w:rPr>
        <w:t>Подпись по электронной почте или через ЭДО считается действительной - отдельная печать не обязательна.</w:t>
      </w:r>
    </w:p>
    <w:p>
      <w:r>
        <w:br w:type="page"/>
      </w:r>
    </w:p>
    <w:p>
      <w:pPr>
        <w:spacing w:after="200"/>
      </w:pPr>
      <w:r>
        <w:rPr>
          <w:b/>
          <w:sz w:val="26"/>
        </w:rPr>
        <w:t>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Заказчик</w:t>
            </w:r>
          </w:p>
        </w:tc>
        <w:tc>
          <w:tcPr>
            <w:tcW w:type="dxa" w:w="4986"/>
          </w:tcPr>
          <w:p>
            <w:r/>
            <w:r>
              <w:rPr>
                <w:b/>
              </w:rPr>
              <w:t>Исполнитель</w:t>
            </w:r>
          </w:p>
        </w:tc>
      </w:tr>
      <w:tr>
        <w:tc>
          <w:tcPr>
            <w:tcW w:type="dxa" w:w="4986"/>
          </w:tcPr>
          <w:p>
            <w:pPr>
              <w:spacing w:after="160"/>
            </w:pPr>
            <w:r/>
            <w:r>
              <w:rPr>
                <w:sz w:val="22"/>
              </w:rPr>
              <w:t>Наименование / ФИО: ____________________</w:t>
            </w:r>
          </w:p>
          <w:p>
            <w:pPr>
              <w:spacing w:after="160"/>
            </w:pPr>
            <w:r>
              <w:rPr>
                <w:sz w:val="22"/>
              </w:rPr>
              <w:t>ИНН: ____________________</w:t>
            </w:r>
          </w:p>
          <w:p>
            <w:pPr>
              <w:spacing w:after="160"/>
            </w:pPr>
            <w:r>
              <w:rPr>
                <w:sz w:val="22"/>
              </w:rPr>
              <w:t>Адрес: ____________________</w:t>
            </w:r>
          </w:p>
          <w:p>
            <w:pPr>
              <w:spacing w:after="160"/>
            </w:pPr>
            <w:r>
              <w:rPr>
                <w:sz w:val="22"/>
              </w:rPr>
              <w:t>Подпись: __________________</w:t>
            </w:r>
          </w:p>
          <w:p>
            <w:pPr>
              <w:spacing w:after="160"/>
            </w:pPr>
            <w:r>
              <w:rPr>
                <w:sz w:val="22"/>
              </w:rPr>
              <w:t>Дата: «____» ________ 20__ г.</w:t>
            </w:r>
          </w:p>
        </w:tc>
        <w:tc>
          <w:tcPr>
            <w:tcW w:type="dxa" w:w="4986"/>
          </w:tcPr>
          <w:p>
            <w:pPr>
              <w:spacing w:after="160"/>
            </w:pPr>
            <w:r/>
            <w:r>
              <w:rPr>
                <w:sz w:val="22"/>
              </w:rPr>
              <w:t>Cosh-labs</w:t>
            </w:r>
          </w:p>
          <w:p>
            <w:pPr>
              <w:spacing w:after="160"/>
            </w:pPr>
            <w:r>
              <w:rPr>
                <w:sz w:val="22"/>
              </w:rPr>
              <w:t>ИНН: ____________________</w:t>
            </w:r>
          </w:p>
          <w:p>
            <w:pPr>
              <w:spacing w:after="160"/>
            </w:pPr>
            <w:r>
              <w:rPr>
                <w:sz w:val="22"/>
              </w:rPr>
              <w:t>Адрес: ____________________</w:t>
            </w:r>
          </w:p>
          <w:p>
            <w:pPr>
              <w:spacing w:after="160"/>
            </w:pPr>
            <w:r>
              <w:rPr>
                <w:sz w:val="22"/>
              </w:rPr>
              <w:t>Подпись: __________________</w:t>
            </w:r>
          </w:p>
          <w:p>
            <w:pPr>
              <w:spacing w:after="160"/>
            </w:pPr>
            <w:r>
              <w:rPr>
                <w:sz w:val="22"/>
              </w:rPr>
              <w:t>Дата: «____» ________ 20__ г.</w:t>
            </w:r>
          </w:p>
        </w:tc>
      </w:tr>
    </w:tbl>
    <w:p/>
    <w:p>
      <w:r>
        <w:rPr>
          <w:b w:val="0"/>
          <w:i/>
          <w:color w:val="666666"/>
          <w:sz w:val="20"/>
        </w:rPr>
        <w:t>Это образец, а не юридическая консультация. Перед подписанием проверьте реквизиты, срок и подсудность под вашу ситуацию; при необходимости согласуйте документ с юристом.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конфиденциальности (NDA) (образец)</dc:title>
  <dc:subject/>
  <dc:creator>Cosh-labs</dc:creator>
  <cp:keywords/>
  <dc:description>Образец договора о конфиденциальности. Не является юридической консультацией.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